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4DC2" w14:textId="77777777" w:rsidR="00C45ADC" w:rsidRPr="00F33748" w:rsidRDefault="00C45ADC" w:rsidP="00C45ADC">
      <w:pPr>
        <w:pStyle w:val="NormalWeb"/>
        <w:rPr>
          <w:u w:val="single"/>
        </w:rPr>
      </w:pPr>
      <w:r w:rsidRPr="00F33748">
        <w:rPr>
          <w:bCs/>
          <w:u w:val="single"/>
        </w:rPr>
        <w:t>Rules for Use of These Data</w:t>
      </w:r>
    </w:p>
    <w:p w14:paraId="0439E9BE" w14:textId="77777777" w:rsidR="00C45ADC" w:rsidRPr="00C45ADC" w:rsidRDefault="00C45ADC" w:rsidP="00C45ADC">
      <w:pPr>
        <w:pStyle w:val="NormalWeb"/>
      </w:pPr>
      <w:r w:rsidRPr="00C45ADC">
        <w:rPr>
          <w:bCs/>
        </w:rPr>
        <w:t>A) You must have a legal subscription to the CRSP/</w:t>
      </w:r>
      <w:proofErr w:type="spellStart"/>
      <w:r w:rsidRPr="00C45ADC">
        <w:rPr>
          <w:bCs/>
        </w:rPr>
        <w:t>Compustat</w:t>
      </w:r>
      <w:proofErr w:type="spellEnd"/>
      <w:r w:rsidRPr="00C45ADC">
        <w:rPr>
          <w:bCs/>
        </w:rPr>
        <w:t xml:space="preserve"> Merged Database from the Center for Research in Security Prices (CRSP)</w:t>
      </w:r>
    </w:p>
    <w:p w14:paraId="3CC8BE78" w14:textId="77777777" w:rsidR="00C45ADC" w:rsidRPr="00C45ADC" w:rsidRDefault="00C45ADC" w:rsidP="00C45ADC">
      <w:pPr>
        <w:pStyle w:val="NormalWeb"/>
      </w:pPr>
      <w:r w:rsidRPr="00C45ADC">
        <w:rPr>
          <w:bCs/>
        </w:rPr>
        <w:t xml:space="preserve">B) You must cite </w:t>
      </w:r>
      <w:r w:rsidRPr="00C45ADC">
        <w:rPr>
          <w:bCs/>
          <w:i/>
        </w:rPr>
        <w:t>Calluzzo, P., Wang, W., &amp; Wu, S. (2021). SEC scrutiny shopping. Journal of Corporate Finance, 67, 101878</w:t>
      </w:r>
      <w:r>
        <w:rPr>
          <w:bCs/>
        </w:rPr>
        <w:t xml:space="preserve">, </w:t>
      </w:r>
      <w:r w:rsidRPr="00C45ADC">
        <w:rPr>
          <w:bCs/>
        </w:rPr>
        <w:t>in your working papers and published papers that use any of these data</w:t>
      </w:r>
      <w:r>
        <w:rPr>
          <w:bCs/>
        </w:rPr>
        <w:t>.</w:t>
      </w:r>
    </w:p>
    <w:p w14:paraId="7C3FCE04" w14:textId="1121E919" w:rsidR="00C45ADC" w:rsidRPr="00C45ADC" w:rsidRDefault="00C45ADC" w:rsidP="00C45ADC">
      <w:pPr>
        <w:pStyle w:val="NormalWeb"/>
      </w:pPr>
      <w:r w:rsidRPr="00C45ADC">
        <w:rPr>
          <w:bCs/>
        </w:rPr>
        <w:t xml:space="preserve">C) You must place the following text in a footnote of your paper (to help other researchers find the benchmarks):  "The </w:t>
      </w:r>
      <w:r>
        <w:rPr>
          <w:bCs/>
        </w:rPr>
        <w:t>headquarters relocation data</w:t>
      </w:r>
      <w:r w:rsidRPr="00C45ADC">
        <w:rPr>
          <w:bCs/>
        </w:rPr>
        <w:t xml:space="preserve"> are available via </w:t>
      </w:r>
      <w:r w:rsidR="00422FD3">
        <w:rPr>
          <w:bCs/>
        </w:rPr>
        <w:t xml:space="preserve">Professor Wei Wang’s website at </w:t>
      </w:r>
      <w:hyperlink r:id="rId4" w:history="1">
        <w:r w:rsidR="00422FD3" w:rsidRPr="009F0195">
          <w:rPr>
            <w:rStyle w:val="Hyperlink"/>
            <w:bCs/>
          </w:rPr>
          <w:t>https://www.profweiwang.com/research</w:t>
        </w:r>
      </w:hyperlink>
      <w:r w:rsidRPr="00C45ADC">
        <w:rPr>
          <w:bCs/>
        </w:rPr>
        <w:t>"</w:t>
      </w:r>
    </w:p>
    <w:p w14:paraId="36CF7A25" w14:textId="77777777" w:rsidR="00C45ADC" w:rsidRPr="008F5132" w:rsidRDefault="00C45ADC" w:rsidP="00C45ADC">
      <w:pPr>
        <w:pStyle w:val="NormalWeb"/>
        <w:jc w:val="center"/>
        <w:rPr>
          <w:b/>
          <w:bCs/>
          <w:i/>
        </w:rPr>
      </w:pPr>
      <w:r w:rsidRPr="008F5132">
        <w:rPr>
          <w:b/>
          <w:bCs/>
          <w:i/>
        </w:rPr>
        <w:t>- If you cannot comply with the above, then please exit this page.  Otherwise, your downloading of these data signifies your acceptance of these terms </w:t>
      </w:r>
    </w:p>
    <w:p w14:paraId="68FF0857" w14:textId="77777777" w:rsidR="00C45ADC" w:rsidRPr="00F33748" w:rsidRDefault="00F33748" w:rsidP="00C45ADC">
      <w:pPr>
        <w:pStyle w:val="NormalWeb"/>
        <w:rPr>
          <w:u w:val="single"/>
        </w:rPr>
      </w:pPr>
      <w:r w:rsidRPr="00F33748">
        <w:rPr>
          <w:u w:val="single"/>
        </w:rPr>
        <w:t>Data Construction as explained in Calluzzo, Wang and Wu (2021):</w:t>
      </w:r>
    </w:p>
    <w:p w14:paraId="1AEFF029" w14:textId="741B1961" w:rsidR="00F33748" w:rsidRDefault="00F33748" w:rsidP="00C45ADC">
      <w:pPr>
        <w:pStyle w:val="NormalWeb"/>
      </w:pPr>
      <w:r w:rsidRPr="00F33748">
        <w:t xml:space="preserve">We write web-crawling algorithms to collect for the </w:t>
      </w:r>
      <w:proofErr w:type="spellStart"/>
      <w:r w:rsidRPr="00F33748">
        <w:t>Compustat</w:t>
      </w:r>
      <w:proofErr w:type="spellEnd"/>
      <w:r w:rsidRPr="00F33748">
        <w:t xml:space="preserve"> universe of firms the corporate primary business (headquarters) locations, including state and ZIP Code, from companies' 10-Ks filed with the SEC through Edgar, on a</w:t>
      </w:r>
      <w:r w:rsidR="00497C39">
        <w:t>n annual basis from 1996 to 2018</w:t>
      </w:r>
      <w:r w:rsidR="00422FD3">
        <w:t xml:space="preserve">. </w:t>
      </w:r>
      <w:r w:rsidRPr="00F33748">
        <w:t xml:space="preserve">Using the location information collected, we identify business relocations and the fiscal year in which they took place. </w:t>
      </w:r>
      <w:r w:rsidR="00422FD3">
        <w:t>It</w:t>
      </w:r>
      <w:r w:rsidRPr="00F33748">
        <w:t xml:space="preserve"> is possible</w:t>
      </w:r>
      <w:r w:rsidR="00422FD3">
        <w:t xml:space="preserve"> that, for some firms,</w:t>
      </w:r>
      <w:r w:rsidRPr="00F33748">
        <w:t xml:space="preserve"> the business postal address is not the same as the primary business address, and that our web-crawling might pick up t</w:t>
      </w:r>
      <w:r w:rsidR="00422FD3">
        <w:t xml:space="preserve">he former instead of the latter. To </w:t>
      </w:r>
      <w:r w:rsidRPr="00F33748">
        <w:t>obviate such concerns</w:t>
      </w:r>
      <w:r w:rsidR="00422FD3">
        <w:t>, we manually inspect</w:t>
      </w:r>
      <w:r w:rsidRPr="00F33748">
        <w:t xml:space="preserve"> the web-crawling results. We identify whether a relocation is out of state, out of MSA, and out of SEC jurisdiction (out-of-SEC)—that is, relocations to where a different regional SEC office has jurisdiction, which is the primary focus of our study.</w:t>
      </w:r>
    </w:p>
    <w:p w14:paraId="4A1B3A19" w14:textId="5BEE08F3" w:rsidR="006E1F54" w:rsidRPr="006E1F54" w:rsidRDefault="006E1F54" w:rsidP="00C45ADC">
      <w:pPr>
        <w:pStyle w:val="NormalWeb"/>
        <w:rPr>
          <w:u w:val="single"/>
        </w:rPr>
      </w:pPr>
      <w:r>
        <w:rPr>
          <w:u w:val="single"/>
        </w:rPr>
        <w:t xml:space="preserve">Variable Definitions </w:t>
      </w:r>
      <w:r w:rsidR="00497C39">
        <w:rPr>
          <w:u w:val="single"/>
        </w:rPr>
        <w:t xml:space="preserve">for </w:t>
      </w:r>
      <w:r w:rsidR="00DB688F">
        <w:rPr>
          <w:u w:val="single"/>
        </w:rPr>
        <w:t xml:space="preserve">Variables in </w:t>
      </w:r>
      <w:bookmarkStart w:id="0" w:name="_GoBack"/>
      <w:bookmarkEnd w:id="0"/>
      <w:r w:rsidR="00497C39">
        <w:rPr>
          <w:u w:val="single"/>
        </w:rPr>
        <w:t>ExtendedSample_Paper_Location.csv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F5132" w14:paraId="4698185C" w14:textId="77777777" w:rsidTr="008F5132">
        <w:tc>
          <w:tcPr>
            <w:tcW w:w="1615" w:type="dxa"/>
          </w:tcPr>
          <w:p w14:paraId="3F61DD5B" w14:textId="49EE6149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zip</w:t>
            </w:r>
          </w:p>
        </w:tc>
        <w:tc>
          <w:tcPr>
            <w:tcW w:w="7735" w:type="dxa"/>
          </w:tcPr>
          <w:p w14:paraId="2875B471" w14:textId="2E321BF5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8F5132">
              <w:rPr>
                <w:sz w:val="20"/>
                <w:szCs w:val="20"/>
              </w:rPr>
              <w:t>zipcode</w:t>
            </w:r>
            <w:proofErr w:type="spellEnd"/>
            <w:r w:rsidRPr="008F5132">
              <w:rPr>
                <w:sz w:val="20"/>
                <w:szCs w:val="20"/>
              </w:rPr>
              <w:t xml:space="preserve"> of firm HQ in specified year</w:t>
            </w:r>
          </w:p>
        </w:tc>
      </w:tr>
      <w:tr w:rsidR="008F5132" w14:paraId="4276647F" w14:textId="77777777" w:rsidTr="008F5132">
        <w:tc>
          <w:tcPr>
            <w:tcW w:w="1615" w:type="dxa"/>
          </w:tcPr>
          <w:p w14:paraId="53EB5BEF" w14:textId="31513C01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8F5132">
              <w:rPr>
                <w:sz w:val="20"/>
                <w:szCs w:val="20"/>
              </w:rPr>
              <w:t>msacmsa</w:t>
            </w:r>
            <w:proofErr w:type="spellEnd"/>
          </w:p>
        </w:tc>
        <w:tc>
          <w:tcPr>
            <w:tcW w:w="7735" w:type="dxa"/>
          </w:tcPr>
          <w:p w14:paraId="2CC35CE1" w14:textId="3B4F77C8" w:rsidR="008F5132" w:rsidRPr="008F5132" w:rsidRDefault="008F5132" w:rsidP="008F5132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US Census MSA/CMSA FIPS Code to identify Metropolitan Statistical Area / Consolidated Metropolitan Statistical Area of firm HQ in specified year</w:t>
            </w:r>
          </w:p>
          <w:p w14:paraId="0732C9DA" w14:textId="29FE3C39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</w:p>
        </w:tc>
      </w:tr>
      <w:tr w:rsidR="008F5132" w14:paraId="7B670030" w14:textId="77777777" w:rsidTr="008F5132">
        <w:tc>
          <w:tcPr>
            <w:tcW w:w="1615" w:type="dxa"/>
          </w:tcPr>
          <w:p w14:paraId="52FA2DBC" w14:textId="203AF730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8F5132">
              <w:rPr>
                <w:sz w:val="20"/>
                <w:szCs w:val="20"/>
              </w:rPr>
              <w:t>secoffice_zip</w:t>
            </w:r>
            <w:proofErr w:type="spellEnd"/>
          </w:p>
        </w:tc>
        <w:tc>
          <w:tcPr>
            <w:tcW w:w="7735" w:type="dxa"/>
          </w:tcPr>
          <w:p w14:paraId="2655026A" w14:textId="77777777" w:rsidR="008F5132" w:rsidRPr="008F5132" w:rsidRDefault="008F5132" w:rsidP="008F5132">
            <w:pPr>
              <w:pStyle w:val="NormalWeb"/>
              <w:contextualSpacing/>
              <w:rPr>
                <w:sz w:val="20"/>
                <w:szCs w:val="20"/>
              </w:rPr>
            </w:pPr>
            <w:proofErr w:type="spellStart"/>
            <w:r w:rsidRPr="008F5132">
              <w:rPr>
                <w:sz w:val="20"/>
                <w:szCs w:val="20"/>
              </w:rPr>
              <w:t>Zipcode</w:t>
            </w:r>
            <w:proofErr w:type="spellEnd"/>
            <w:r w:rsidRPr="008F5132">
              <w:rPr>
                <w:sz w:val="20"/>
                <w:szCs w:val="20"/>
              </w:rPr>
              <w:t xml:space="preserve"> of SEC office that oversees firm in specified year</w:t>
            </w:r>
          </w:p>
          <w:p w14:paraId="62B957B7" w14:textId="77777777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</w:p>
        </w:tc>
      </w:tr>
      <w:tr w:rsidR="008F5132" w14:paraId="7CA4857B" w14:textId="77777777" w:rsidTr="008F5132">
        <w:tc>
          <w:tcPr>
            <w:tcW w:w="1615" w:type="dxa"/>
          </w:tcPr>
          <w:p w14:paraId="397F232E" w14:textId="1E038D54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firmmove2_sec</w:t>
            </w:r>
          </w:p>
        </w:tc>
        <w:tc>
          <w:tcPr>
            <w:tcW w:w="7735" w:type="dxa"/>
          </w:tcPr>
          <w:p w14:paraId="5D756B5C" w14:textId="3E6A845A" w:rsidR="008F5132" w:rsidRPr="008F5132" w:rsidRDefault="008F5132" w:rsidP="008F5132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Dummy variable that identifies if firm moves to a new HQ location in a difference SEC region in the subsequent year</w:t>
            </w:r>
          </w:p>
        </w:tc>
      </w:tr>
      <w:tr w:rsidR="008F5132" w14:paraId="5A35777F" w14:textId="77777777" w:rsidTr="008F5132">
        <w:tc>
          <w:tcPr>
            <w:tcW w:w="1615" w:type="dxa"/>
          </w:tcPr>
          <w:p w14:paraId="4EA1B073" w14:textId="4B471F12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firmmove2_nsec</w:t>
            </w:r>
          </w:p>
        </w:tc>
        <w:tc>
          <w:tcPr>
            <w:tcW w:w="7735" w:type="dxa"/>
          </w:tcPr>
          <w:p w14:paraId="2BFB13DB" w14:textId="11FBED2E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Dummy variable that identifies if firm moves to a new HQ location in the same SEC region, but different MSA or state, in the subsequent year</w:t>
            </w:r>
          </w:p>
        </w:tc>
      </w:tr>
      <w:tr w:rsidR="008F5132" w14:paraId="45A64ECD" w14:textId="77777777" w:rsidTr="008F5132">
        <w:tc>
          <w:tcPr>
            <w:tcW w:w="1615" w:type="dxa"/>
          </w:tcPr>
          <w:p w14:paraId="50363327" w14:textId="61844F7D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statemove2</w:t>
            </w:r>
          </w:p>
        </w:tc>
        <w:tc>
          <w:tcPr>
            <w:tcW w:w="7735" w:type="dxa"/>
          </w:tcPr>
          <w:p w14:paraId="4A554E36" w14:textId="12776831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Dummy variable that identifies if firm moves to a new HQ in a different state in the subsequent year</w:t>
            </w:r>
          </w:p>
        </w:tc>
      </w:tr>
      <w:tr w:rsidR="008F5132" w14:paraId="3EE5BCC2" w14:textId="77777777" w:rsidTr="008F5132">
        <w:tc>
          <w:tcPr>
            <w:tcW w:w="1615" w:type="dxa"/>
          </w:tcPr>
          <w:p w14:paraId="1829D881" w14:textId="25EACA42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msacmsa_move2</w:t>
            </w:r>
          </w:p>
        </w:tc>
        <w:tc>
          <w:tcPr>
            <w:tcW w:w="7735" w:type="dxa"/>
          </w:tcPr>
          <w:p w14:paraId="18639206" w14:textId="3677FEEC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Dummy variable that identifies if firm moves to a new HQ in a different MSA in the subsequent year</w:t>
            </w:r>
          </w:p>
        </w:tc>
      </w:tr>
      <w:tr w:rsidR="008F5132" w14:paraId="0CD9A1D0" w14:textId="77777777" w:rsidTr="008F5132">
        <w:tc>
          <w:tcPr>
            <w:tcW w:w="1615" w:type="dxa"/>
          </w:tcPr>
          <w:p w14:paraId="0E872A62" w14:textId="63D9F275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>gvkey2</w:t>
            </w:r>
          </w:p>
        </w:tc>
        <w:tc>
          <w:tcPr>
            <w:tcW w:w="7735" w:type="dxa"/>
          </w:tcPr>
          <w:p w14:paraId="7271A526" w14:textId="23E0BF09" w:rsidR="008F5132" w:rsidRPr="008F5132" w:rsidRDefault="008F5132" w:rsidP="006E1F54">
            <w:pPr>
              <w:pStyle w:val="NormalWeb"/>
              <w:contextualSpacing/>
              <w:rPr>
                <w:sz w:val="20"/>
                <w:szCs w:val="20"/>
              </w:rPr>
            </w:pPr>
            <w:r w:rsidRPr="008F5132">
              <w:rPr>
                <w:sz w:val="20"/>
                <w:szCs w:val="20"/>
              </w:rPr>
              <w:t xml:space="preserve">Firm </w:t>
            </w:r>
            <w:proofErr w:type="spellStart"/>
            <w:r w:rsidRPr="008F5132">
              <w:rPr>
                <w:sz w:val="20"/>
                <w:szCs w:val="20"/>
              </w:rPr>
              <w:t>gvkey</w:t>
            </w:r>
            <w:proofErr w:type="spellEnd"/>
            <w:r w:rsidRPr="008F5132">
              <w:rPr>
                <w:sz w:val="20"/>
                <w:szCs w:val="20"/>
              </w:rPr>
              <w:t xml:space="preserve"> identifier</w:t>
            </w:r>
          </w:p>
        </w:tc>
      </w:tr>
    </w:tbl>
    <w:p w14:paraId="57FA3738" w14:textId="66EC31EC" w:rsidR="00497C39" w:rsidRDefault="00497C39" w:rsidP="00C45ADC">
      <w:pPr>
        <w:pStyle w:val="NormalWeb"/>
        <w:rPr>
          <w:u w:val="single"/>
        </w:rPr>
      </w:pPr>
      <w:r>
        <w:t>For a subsample of firm locations from 1996 to 2012, we manually process</w:t>
      </w:r>
      <w:r w:rsidRPr="00F33748">
        <w:t xml:space="preserve"> SEC filings (10-Ks and 8-Ks) and news archives around the time of business relocations and record the self-reported </w:t>
      </w:r>
      <w:r w:rsidRPr="00F33748">
        <w:lastRenderedPageBreak/>
        <w:t>reasons for relocations.</w:t>
      </w:r>
      <w:r>
        <w:t xml:space="preserve"> The information is recorded in data set “MainSample_Paper_Location.csv”</w:t>
      </w:r>
    </w:p>
    <w:p w14:paraId="01DD26B8" w14:textId="49A0B8D0" w:rsidR="00D0255E" w:rsidRPr="006E1F54" w:rsidRDefault="00497C39" w:rsidP="00C45ADC">
      <w:pPr>
        <w:pStyle w:val="NormalWeb"/>
        <w:rPr>
          <w:u w:val="single"/>
        </w:rPr>
      </w:pPr>
      <w:r>
        <w:rPr>
          <w:u w:val="single"/>
        </w:rPr>
        <w:t xml:space="preserve">Variable Definition for Key </w:t>
      </w:r>
      <w:r w:rsidR="00D0255E" w:rsidRPr="006E1F54">
        <w:rPr>
          <w:u w:val="single"/>
        </w:rPr>
        <w:t>Reasons of Move</w:t>
      </w:r>
      <w:r w:rsidR="008F5132">
        <w:rPr>
          <w:u w:val="single"/>
        </w:rPr>
        <w:t xml:space="preserve"> </w:t>
      </w:r>
      <w:r w:rsidR="00D0255E" w:rsidRPr="006E1F54">
        <w:rPr>
          <w:u w:val="single"/>
        </w:rPr>
        <w:t>(Main Sample Dataset Only)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1175"/>
        <w:gridCol w:w="7963"/>
      </w:tblGrid>
      <w:tr w:rsidR="00086E01" w:rsidRPr="00422FD3" w14:paraId="0AD4C830" w14:textId="77777777" w:rsidTr="00086E01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1CF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Business expansion/change</w:t>
            </w:r>
          </w:p>
        </w:tc>
      </w:tr>
      <w:tr w:rsidR="00086E01" w:rsidRPr="00422FD3" w14:paraId="2AE93654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9695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DFF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E8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Merger or asset purchase</w:t>
            </w:r>
          </w:p>
        </w:tc>
      </w:tr>
      <w:tr w:rsidR="00086E01" w:rsidRPr="00422FD3" w14:paraId="77E803D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656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41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B2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FB35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Business expansion (introduction of new products, expansion of production capacity, etc.)</w:t>
            </w:r>
          </w:p>
        </w:tc>
      </w:tr>
      <w:tr w:rsidR="00086E01" w:rsidRPr="00422FD3" w14:paraId="38973C5B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BA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773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B3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23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Refocusing of resources/production, or change of business nature</w:t>
            </w:r>
          </w:p>
        </w:tc>
      </w:tr>
      <w:tr w:rsidR="00086E01" w:rsidRPr="00422FD3" w14:paraId="119C6C51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EA3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2F2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B4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C7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Change of customers or access to new markets</w:t>
            </w:r>
          </w:p>
        </w:tc>
      </w:tr>
      <w:tr w:rsidR="00086E01" w:rsidRPr="00422FD3" w14:paraId="6B0097CE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AE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BC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B5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18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Capcity</w:t>
            </w:r>
            <w:proofErr w:type="spellEnd"/>
            <w:r w:rsidRPr="00422FD3">
              <w:rPr>
                <w:rFonts w:ascii="Times New Roman" w:eastAsia="Times New Roman" w:hAnsi="Times New Roman" w:cs="Times New Roman"/>
                <w:color w:val="000000"/>
              </w:rPr>
              <w:t xml:space="preserve"> reduction/asset divestitures</w:t>
            </w:r>
          </w:p>
        </w:tc>
      </w:tr>
      <w:tr w:rsidR="00086E01" w:rsidRPr="00422FD3" w14:paraId="1B6B0439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2D9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EFCC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B6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B17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Spin-off/IPO</w:t>
            </w:r>
          </w:p>
        </w:tc>
      </w:tr>
      <w:tr w:rsidR="00086E01" w:rsidRPr="00422FD3" w14:paraId="5C5B4DA2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3A3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89E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876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E01" w:rsidRPr="00422FD3" w14:paraId="285E5A32" w14:textId="77777777" w:rsidTr="00086E01">
        <w:trPr>
          <w:trHeight w:val="30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EF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Cost savings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3E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E01" w:rsidRPr="00422FD3" w14:paraId="6CE4E557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F24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307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55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Reduce operating expenses, lower labor costs, or tax savings</w:t>
            </w:r>
          </w:p>
        </w:tc>
      </w:tr>
      <w:tr w:rsidR="00086E01" w:rsidRPr="00422FD3" w14:paraId="4BB3E7F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09F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A89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C2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B24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Facility consolidation</w:t>
            </w:r>
          </w:p>
        </w:tc>
      </w:tr>
      <w:tr w:rsidR="00086E01" w:rsidRPr="00422FD3" w14:paraId="7F86C42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0B6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B6B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45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Close to suppliers</w:t>
            </w:r>
          </w:p>
        </w:tc>
      </w:tr>
      <w:tr w:rsidR="00086E01" w:rsidRPr="00422FD3" w14:paraId="28922ED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0D7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C9F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49E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Close to production/increase production efficiency</w:t>
            </w:r>
          </w:p>
        </w:tc>
      </w:tr>
      <w:tr w:rsidR="00086E01" w:rsidRPr="00422FD3" w14:paraId="0CA4A2C6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76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2D6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C5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EC1A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Close to services (lawyers, financial services, etc.)</w:t>
            </w:r>
          </w:p>
        </w:tc>
      </w:tr>
      <w:tr w:rsidR="00086E01" w:rsidRPr="00422FD3" w14:paraId="318B502A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D3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A5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AAA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E01" w:rsidRPr="00422FD3" w14:paraId="357F7996" w14:textId="77777777" w:rsidTr="00086E01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E05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Stakeholders change</w:t>
            </w:r>
          </w:p>
        </w:tc>
      </w:tr>
      <w:tr w:rsidR="00086E01" w:rsidRPr="00422FD3" w14:paraId="09E3F9F8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C2D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EA4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976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Change of or close to top managers</w:t>
            </w:r>
          </w:p>
        </w:tc>
      </w:tr>
      <w:tr w:rsidR="00086E01" w:rsidRPr="00422FD3" w14:paraId="2AF3177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581E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324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S2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76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Change of owners or major shareholders</w:t>
            </w:r>
          </w:p>
        </w:tc>
      </w:tr>
      <w:tr w:rsidR="00086E01" w:rsidRPr="00422FD3" w14:paraId="7966FDB0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B733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53F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S3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3F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Close to owners or major shareholders</w:t>
            </w:r>
          </w:p>
        </w:tc>
      </w:tr>
      <w:tr w:rsidR="00086E01" w:rsidRPr="00422FD3" w14:paraId="3854C3C4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F4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13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S4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91E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Change of major lenders</w:t>
            </w:r>
          </w:p>
        </w:tc>
      </w:tr>
      <w:tr w:rsidR="00086E01" w:rsidRPr="00422FD3" w14:paraId="1A34877C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75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1B2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S5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3E7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Close to major lenders</w:t>
            </w:r>
          </w:p>
        </w:tc>
      </w:tr>
      <w:tr w:rsidR="00086E01" w:rsidRPr="00422FD3" w14:paraId="1594B90E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6F8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CFC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23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E01" w:rsidRPr="00422FD3" w14:paraId="5EB4CA19" w14:textId="77777777" w:rsidTr="00086E01">
        <w:trPr>
          <w:trHeight w:val="30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D1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Other reasons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F1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E01" w:rsidRPr="00422FD3" w14:paraId="120FC719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02A3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415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6E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Close to infrastructure (e.g. major airport)</w:t>
            </w:r>
          </w:p>
        </w:tc>
      </w:tr>
      <w:tr w:rsidR="00086E01" w:rsidRPr="00422FD3" w14:paraId="7E3B910C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475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CB9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31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Natural disaster or sudden event</w:t>
            </w:r>
          </w:p>
        </w:tc>
      </w:tr>
      <w:tr w:rsidR="00086E01" w:rsidRPr="00422FD3" w14:paraId="78091A1F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7B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E5E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O3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76A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Regulations and legal changes (e.g. change of state laws)</w:t>
            </w:r>
          </w:p>
        </w:tc>
      </w:tr>
      <w:tr w:rsidR="00086E01" w:rsidRPr="00422FD3" w14:paraId="2BB7339A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572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564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O4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A943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Better environment/amenities</w:t>
            </w:r>
          </w:p>
        </w:tc>
      </w:tr>
      <w:tr w:rsidR="00086E01" w:rsidRPr="00422FD3" w14:paraId="273644FC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0A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77A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O5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5F1B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Age of headquarter</w:t>
            </w:r>
          </w:p>
        </w:tc>
      </w:tr>
      <w:tr w:rsidR="00086E01" w:rsidRPr="00422FD3" w14:paraId="2C8A149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789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142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O6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654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Sector specialization/agglomeration</w:t>
            </w:r>
          </w:p>
        </w:tc>
      </w:tr>
      <w:tr w:rsidR="00086E01" w:rsidRPr="00422FD3" w14:paraId="6CFA597D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73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DF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O7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DEC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Avoidance of a takeover</w:t>
            </w:r>
          </w:p>
        </w:tc>
      </w:tr>
      <w:tr w:rsidR="00086E01" w:rsidRPr="00422FD3" w14:paraId="5CE81B93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526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CA4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O8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79D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CEO preference</w:t>
            </w:r>
          </w:p>
        </w:tc>
      </w:tr>
      <w:tr w:rsidR="00086E01" w:rsidRPr="00422FD3" w14:paraId="2E86D319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B29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83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O9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629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Proximity to human capital</w:t>
            </w:r>
          </w:p>
        </w:tc>
      </w:tr>
      <w:tr w:rsidR="00086E01" w:rsidRPr="00422FD3" w14:paraId="22F5B51C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37C2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08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O10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E317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No reason</w:t>
            </w:r>
          </w:p>
        </w:tc>
      </w:tr>
      <w:tr w:rsidR="00086E01" w:rsidRPr="00422FD3" w14:paraId="5DA39F25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F26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5B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O11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3575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Bankruptcy/distress</w:t>
            </w:r>
          </w:p>
        </w:tc>
      </w:tr>
      <w:tr w:rsidR="00086E01" w:rsidRPr="00422FD3" w14:paraId="4D75F4E1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FE1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B1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O12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0F8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Litigation</w:t>
            </w:r>
          </w:p>
        </w:tc>
      </w:tr>
      <w:tr w:rsidR="00086E01" w:rsidRPr="00422FD3" w14:paraId="010C7A18" w14:textId="77777777" w:rsidTr="00086E01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AB7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330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O13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7EE" w14:textId="77777777" w:rsidR="00086E01" w:rsidRPr="00422FD3" w:rsidRDefault="00086E01" w:rsidP="0008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FD3">
              <w:rPr>
                <w:rFonts w:ascii="Times New Roman" w:eastAsia="Times New Roman" w:hAnsi="Times New Roman" w:cs="Times New Roman"/>
                <w:color w:val="000000"/>
              </w:rPr>
              <w:t>Proximity to customers</w:t>
            </w:r>
          </w:p>
        </w:tc>
      </w:tr>
    </w:tbl>
    <w:p w14:paraId="69D25996" w14:textId="77777777" w:rsidR="006D7CC3" w:rsidRPr="00422FD3" w:rsidRDefault="00DB688F" w:rsidP="008F5132">
      <w:pPr>
        <w:rPr>
          <w:rFonts w:ascii="Times New Roman" w:hAnsi="Times New Roman" w:cs="Times New Roman"/>
          <w:sz w:val="24"/>
          <w:szCs w:val="24"/>
        </w:rPr>
      </w:pPr>
    </w:p>
    <w:sectPr w:rsidR="006D7CC3" w:rsidRPr="0042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A"/>
    <w:rsid w:val="00086E01"/>
    <w:rsid w:val="00293931"/>
    <w:rsid w:val="00422FD3"/>
    <w:rsid w:val="00497C39"/>
    <w:rsid w:val="004E059D"/>
    <w:rsid w:val="006A3E28"/>
    <w:rsid w:val="006E1F54"/>
    <w:rsid w:val="008223B7"/>
    <w:rsid w:val="008F5132"/>
    <w:rsid w:val="00C45ADC"/>
    <w:rsid w:val="00D0255E"/>
    <w:rsid w:val="00DB688F"/>
    <w:rsid w:val="00DF56C4"/>
    <w:rsid w:val="00EA5305"/>
    <w:rsid w:val="00ED1BFA"/>
    <w:rsid w:val="00F33748"/>
    <w:rsid w:val="00FA7818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A40A"/>
  <w15:chartTrackingRefBased/>
  <w15:docId w15:val="{55E37E58-8860-442E-B7CE-6EF40C7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F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weiwang.com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School of Business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Calluzzo</dc:creator>
  <cp:keywords/>
  <dc:description/>
  <cp:lastModifiedBy>Wei Wang</cp:lastModifiedBy>
  <cp:revision>10</cp:revision>
  <dcterms:created xsi:type="dcterms:W3CDTF">2022-12-19T18:49:00Z</dcterms:created>
  <dcterms:modified xsi:type="dcterms:W3CDTF">2022-12-21T19:42:00Z</dcterms:modified>
</cp:coreProperties>
</file>